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07" w:rsidRPr="00DC3225" w:rsidRDefault="00DC3225" w:rsidP="00974607">
      <w:pPr>
        <w:pStyle w:val="PMEHeading1"/>
        <w:rPr>
          <w:lang w:val="pl-PL"/>
        </w:rPr>
      </w:pPr>
      <w:r w:rsidRPr="00DC3225">
        <w:rPr>
          <w:lang w:val="pl-PL"/>
        </w:rPr>
        <w:t>tytuł referatu</w:t>
      </w:r>
      <w:r>
        <w:rPr>
          <w:lang w:val="pl-PL"/>
        </w:rPr>
        <w:t xml:space="preserve"> (styl: Nagłówek 1</w:t>
      </w:r>
      <w:r w:rsidR="00974607" w:rsidRPr="00DC3225">
        <w:rPr>
          <w:lang w:val="pl-PL"/>
        </w:rPr>
        <w:t>)</w:t>
      </w:r>
    </w:p>
    <w:p w:rsidR="00974607" w:rsidRPr="00DC3225" w:rsidRDefault="00DC3225" w:rsidP="00974607">
      <w:pPr>
        <w:pStyle w:val="PMEAuthorInstitution"/>
        <w:rPr>
          <w:lang w:val="pl-PL"/>
        </w:rPr>
      </w:pPr>
      <w:r w:rsidRPr="00DC3225">
        <w:rPr>
          <w:lang w:val="pl-PL"/>
        </w:rPr>
        <w:t xml:space="preserve">Tutaj </w:t>
      </w:r>
      <w:r w:rsidR="00933B2C">
        <w:rPr>
          <w:lang w:val="pl-PL"/>
        </w:rPr>
        <w:t>napisz</w:t>
      </w:r>
      <w:r w:rsidRPr="00DC3225">
        <w:rPr>
          <w:lang w:val="pl-PL"/>
        </w:rPr>
        <w:t xml:space="preserve"> imiona i nazwiska autorów i podkreśl</w:t>
      </w:r>
      <w:r>
        <w:rPr>
          <w:lang w:val="pl-PL"/>
        </w:rPr>
        <w:t xml:space="preserve"> osobę, </w:t>
      </w:r>
      <w:r w:rsidRPr="00DC3225">
        <w:rPr>
          <w:u w:val="single"/>
          <w:lang w:val="pl-PL"/>
        </w:rPr>
        <w:t>która będzie wygłaszała referat</w:t>
      </w:r>
    </w:p>
    <w:p w:rsidR="00974607" w:rsidRPr="00DC3225" w:rsidRDefault="00DC3225" w:rsidP="00974607">
      <w:pPr>
        <w:pStyle w:val="PMEAuthorInstitution"/>
        <w:rPr>
          <w:lang w:val="pl-PL"/>
        </w:rPr>
      </w:pPr>
      <w:r w:rsidRPr="00DC3225">
        <w:rPr>
          <w:lang w:val="pl-PL"/>
        </w:rPr>
        <w:t xml:space="preserve">Napisz afiliację </w:t>
      </w:r>
      <w:r>
        <w:rPr>
          <w:lang w:val="pl-PL"/>
        </w:rPr>
        <w:t xml:space="preserve">pod </w:t>
      </w:r>
      <w:r w:rsidRPr="00DC3225">
        <w:rPr>
          <w:lang w:val="pl-PL"/>
        </w:rPr>
        <w:t>każdym nazwiskiem</w:t>
      </w:r>
      <w:r>
        <w:rPr>
          <w:lang w:val="pl-PL"/>
        </w:rPr>
        <w:t xml:space="preserve"> autora</w:t>
      </w:r>
    </w:p>
    <w:p w:rsidR="00974607" w:rsidRPr="00DC3225" w:rsidRDefault="00974607" w:rsidP="00974607">
      <w:pPr>
        <w:rPr>
          <w:lang w:val="pl-PL"/>
        </w:rPr>
      </w:pPr>
    </w:p>
    <w:p w:rsidR="00974607" w:rsidRPr="00DC3225" w:rsidRDefault="00DC3225" w:rsidP="00974607">
      <w:pPr>
        <w:pStyle w:val="PMEAbstract"/>
        <w:rPr>
          <w:lang w:val="pl-PL"/>
        </w:rPr>
      </w:pPr>
      <w:r w:rsidRPr="00DC3225">
        <w:rPr>
          <w:lang w:val="pl-PL"/>
        </w:rPr>
        <w:t>Wpisz swoje streszczenie tutaj, pozostawiając JEDNĄ pustą linię pod nazwiskami autorów. Celem tego akapitu jest zwrócenie uwagi na styl streszczeń, w którym zastosowano czcionkę kursywą; jego długość może wynosić do 10 wierszy. Słowo Streszczenie nie jest potrzebne na początku streszczenia.</w:t>
      </w:r>
      <w:r w:rsidR="00933B2C">
        <w:rPr>
          <w:lang w:val="pl-PL"/>
        </w:rPr>
        <w:t xml:space="preserve"> Jest to styl </w:t>
      </w:r>
      <w:r w:rsidRPr="00DC3225">
        <w:rPr>
          <w:lang w:val="pl-PL"/>
        </w:rPr>
        <w:t xml:space="preserve"> </w:t>
      </w:r>
      <w:r w:rsidR="00933B2C" w:rsidRPr="00933B2C">
        <w:rPr>
          <w:lang w:val="pl-PL"/>
        </w:rPr>
        <w:t>SDM Abstrakt</w:t>
      </w:r>
      <w:r w:rsidR="00933B2C">
        <w:rPr>
          <w:lang w:val="pl-PL"/>
        </w:rPr>
        <w:t>.</w:t>
      </w:r>
    </w:p>
    <w:p w:rsidR="00974607" w:rsidRPr="00DC3225" w:rsidRDefault="00DC3225" w:rsidP="00974607">
      <w:pPr>
        <w:pStyle w:val="PMEHeading2"/>
        <w:rPr>
          <w:lang w:val="pl-PL"/>
        </w:rPr>
      </w:pPr>
      <w:r w:rsidRPr="00DC3225">
        <w:rPr>
          <w:lang w:val="pl-PL"/>
        </w:rPr>
        <w:t xml:space="preserve">GŁÓWNY STYL NAGŁÓWEK SEKCJI </w:t>
      </w:r>
      <w:r>
        <w:rPr>
          <w:lang w:val="pl-PL"/>
        </w:rPr>
        <w:t>(</w:t>
      </w:r>
      <w:r w:rsidRPr="00DC3225">
        <w:rPr>
          <w:lang w:val="pl-PL"/>
        </w:rPr>
        <w:t>NAGŁÓWEK 2</w:t>
      </w:r>
      <w:r>
        <w:rPr>
          <w:lang w:val="pl-PL"/>
        </w:rPr>
        <w:t>)</w:t>
      </w:r>
    </w:p>
    <w:p w:rsidR="00974607" w:rsidRPr="00933B2C" w:rsidRDefault="00933B2C" w:rsidP="00974607">
      <w:pPr>
        <w:pStyle w:val="PMENormal"/>
        <w:rPr>
          <w:lang w:val="pl-PL"/>
        </w:rPr>
      </w:pPr>
      <w:r w:rsidRPr="00933B2C">
        <w:rPr>
          <w:lang w:val="pl-PL"/>
        </w:rPr>
        <w:t xml:space="preserve">Jest to szablon </w:t>
      </w:r>
      <w:r>
        <w:rPr>
          <w:lang w:val="pl-PL"/>
        </w:rPr>
        <w:t>artykułów przygotowanych do publikacji w monografii</w:t>
      </w:r>
      <w:r w:rsidRPr="00933B2C">
        <w:rPr>
          <w:lang w:val="pl-PL"/>
        </w:rPr>
        <w:t xml:space="preserve"> na </w:t>
      </w:r>
      <w:r>
        <w:rPr>
          <w:lang w:val="pl-PL"/>
        </w:rPr>
        <w:t>SDM’23</w:t>
      </w:r>
      <w:r w:rsidRPr="00933B2C">
        <w:rPr>
          <w:lang w:val="pl-PL"/>
        </w:rPr>
        <w:t xml:space="preserve">. Wykorzystuje „style”, które zostały skonfigurowane dla tego konkretnego dokumentu. Na przykład w tym akapicie zastosowano styl </w:t>
      </w:r>
      <w:r>
        <w:rPr>
          <w:lang w:val="pl-PL"/>
        </w:rPr>
        <w:t>SDM</w:t>
      </w:r>
      <w:r w:rsidRPr="00933B2C">
        <w:rPr>
          <w:lang w:val="pl-PL"/>
        </w:rPr>
        <w:t xml:space="preserve"> </w:t>
      </w:r>
      <w:proofErr w:type="spellStart"/>
      <w:r w:rsidRPr="00933B2C">
        <w:rPr>
          <w:lang w:val="pl-PL"/>
        </w:rPr>
        <w:t>Normal</w:t>
      </w:r>
      <w:proofErr w:type="spellEnd"/>
      <w:r>
        <w:rPr>
          <w:lang w:val="pl-PL"/>
        </w:rPr>
        <w:t>:</w:t>
      </w:r>
      <w:r w:rsidRPr="00933B2C">
        <w:rPr>
          <w:lang w:val="pl-PL"/>
        </w:rPr>
        <w:t xml:space="preserve"> tekst jest napisany czcionką Times New Roman o wielkości 14, z odpowiednimi odstępami między wierszami itd. Ten styl automatycznie zapewnia 6-punktową spację po akapitach, co oznacza, że ​​nie potrzebujesz podwójnych znaków powrotu między akapitami. Inne style, takie jak style </w:t>
      </w:r>
      <w:r>
        <w:rPr>
          <w:lang w:val="pl-PL"/>
        </w:rPr>
        <w:t>SDM Abstrak</w:t>
      </w:r>
      <w:r w:rsidRPr="00933B2C">
        <w:rPr>
          <w:lang w:val="pl-PL"/>
        </w:rPr>
        <w:t xml:space="preserve">t, </w:t>
      </w:r>
      <w:r>
        <w:rPr>
          <w:lang w:val="pl-PL"/>
        </w:rPr>
        <w:t>SDM</w:t>
      </w:r>
      <w:r w:rsidRPr="00933B2C">
        <w:rPr>
          <w:lang w:val="pl-PL"/>
        </w:rPr>
        <w:t xml:space="preserve"> </w:t>
      </w:r>
      <w:r>
        <w:rPr>
          <w:lang w:val="pl-PL"/>
        </w:rPr>
        <w:t>Nagłówek</w:t>
      </w:r>
      <w:r w:rsidRPr="00933B2C">
        <w:rPr>
          <w:lang w:val="pl-PL"/>
        </w:rPr>
        <w:t xml:space="preserve"> 1 i </w:t>
      </w:r>
      <w:r>
        <w:rPr>
          <w:lang w:val="pl-PL"/>
        </w:rPr>
        <w:t>SDM</w:t>
      </w:r>
      <w:r w:rsidRPr="00933B2C">
        <w:rPr>
          <w:lang w:val="pl-PL"/>
        </w:rPr>
        <w:t xml:space="preserve"> </w:t>
      </w:r>
      <w:r>
        <w:rPr>
          <w:lang w:val="pl-PL"/>
        </w:rPr>
        <w:t>Nagłówek</w:t>
      </w:r>
      <w:r w:rsidRPr="00933B2C">
        <w:rPr>
          <w:lang w:val="pl-PL"/>
        </w:rPr>
        <w:t xml:space="preserve"> 2 użyte powyżej, automatycznie generują odpowiednio sformatowany tekst. Stosowanie stylów pomaga zapewnić spójny wygląd wszystkich artykułów w materiałach konferencyjnych.</w:t>
      </w:r>
    </w:p>
    <w:p w:rsidR="00974607" w:rsidRPr="00933B2C" w:rsidRDefault="00933B2C" w:rsidP="00974607">
      <w:pPr>
        <w:pStyle w:val="PMEHeading3"/>
        <w:rPr>
          <w:lang w:val="pl-PL"/>
        </w:rPr>
      </w:pPr>
      <w:r w:rsidRPr="00933B2C">
        <w:rPr>
          <w:lang w:val="pl-PL"/>
        </w:rPr>
        <w:t xml:space="preserve">To jest styl </w:t>
      </w:r>
      <w:r>
        <w:rPr>
          <w:lang w:val="pl-PL"/>
        </w:rPr>
        <w:t>SDM</w:t>
      </w:r>
      <w:r w:rsidRPr="00933B2C">
        <w:rPr>
          <w:lang w:val="pl-PL"/>
        </w:rPr>
        <w:t xml:space="preserve"> </w:t>
      </w:r>
      <w:r>
        <w:rPr>
          <w:lang w:val="pl-PL"/>
        </w:rPr>
        <w:t>Nagłówek</w:t>
      </w:r>
      <w:r w:rsidRPr="00933B2C">
        <w:rPr>
          <w:lang w:val="pl-PL"/>
        </w:rPr>
        <w:t xml:space="preserve"> 3, jeśli go potrzebujesz.</w:t>
      </w:r>
    </w:p>
    <w:p w:rsidR="00933B2C" w:rsidRDefault="00933B2C" w:rsidP="00974607">
      <w:pPr>
        <w:pStyle w:val="PMEHeading3"/>
        <w:rPr>
          <w:b w:val="0"/>
          <w:bCs w:val="0"/>
          <w:lang w:val="pl-PL"/>
        </w:rPr>
      </w:pPr>
      <w:r w:rsidRPr="00933B2C">
        <w:rPr>
          <w:b w:val="0"/>
          <w:bCs w:val="0"/>
          <w:lang w:val="pl-PL"/>
        </w:rPr>
        <w:t xml:space="preserve">Trzy style nagłówków powinny wystarczyć do ustrukturyzowania twojego artykułu: SDM Nagłówek 1 dla tytułu, SDM Nagłówek 2 dla głównych sekcji i </w:t>
      </w:r>
      <w:r>
        <w:rPr>
          <w:b w:val="0"/>
          <w:bCs w:val="0"/>
          <w:lang w:val="pl-PL"/>
        </w:rPr>
        <w:t>SDM Nagłówek 3</w:t>
      </w:r>
      <w:r w:rsidRPr="00933B2C">
        <w:rPr>
          <w:b w:val="0"/>
          <w:bCs w:val="0"/>
          <w:lang w:val="pl-PL"/>
        </w:rPr>
        <w:t xml:space="preserve"> dla podsekcji. Prosimy nie numerować rozdziałów ani podrozdziałów (w przeciwieństwie do list i przypisów).</w:t>
      </w:r>
    </w:p>
    <w:p w:rsidR="00933B2C" w:rsidRDefault="00933B2C" w:rsidP="00974607">
      <w:pPr>
        <w:pStyle w:val="PMENormal"/>
        <w:rPr>
          <w:b/>
          <w:bCs/>
          <w:lang w:val="pl-PL"/>
        </w:rPr>
      </w:pPr>
      <w:r w:rsidRPr="00933B2C">
        <w:rPr>
          <w:b/>
          <w:bCs/>
          <w:lang w:val="pl-PL"/>
        </w:rPr>
        <w:t>Korzystanie z tego dokumentu</w:t>
      </w:r>
    </w:p>
    <w:p w:rsidR="00974607" w:rsidRDefault="00933B2C" w:rsidP="00974607">
      <w:pPr>
        <w:pStyle w:val="PMENormal"/>
        <w:rPr>
          <w:lang w:val="pl-PL"/>
        </w:rPr>
      </w:pPr>
      <w:r w:rsidRPr="00933B2C">
        <w:rPr>
          <w:lang w:val="pl-PL"/>
        </w:rPr>
        <w:t>Najłatwiejszym sposobem wykorzystania tego dokumentu jest zachowanie kopii tego oryginalnego szablonu (ponieważ zawiera on wszystkie instrukcje), a następnie zapisanie k</w:t>
      </w:r>
      <w:r w:rsidR="00CB409F">
        <w:rPr>
          <w:lang w:val="pl-PL"/>
        </w:rPr>
        <w:t>opii tego pliku pod nazwą artykułu</w:t>
      </w:r>
      <w:r w:rsidRPr="00933B2C">
        <w:rPr>
          <w:lang w:val="pl-PL"/>
        </w:rPr>
        <w:t>. Pliki należy zapisać w formacie .</w:t>
      </w:r>
      <w:proofErr w:type="spellStart"/>
      <w:r w:rsidRPr="00933B2C">
        <w:rPr>
          <w:lang w:val="pl-PL"/>
        </w:rPr>
        <w:t>docx</w:t>
      </w:r>
      <w:proofErr w:type="spellEnd"/>
      <w:r w:rsidRPr="00933B2C">
        <w:rPr>
          <w:lang w:val="pl-PL"/>
        </w:rPr>
        <w:t>. Limity stron dla nich są następujące:</w:t>
      </w:r>
      <w:r>
        <w:rPr>
          <w:lang w:val="pl-PL"/>
        </w:rPr>
        <w:t xml:space="preserve"> </w:t>
      </w:r>
      <w:r w:rsidRPr="00933B2C">
        <w:rPr>
          <w:color w:val="FF0000"/>
          <w:lang w:val="pl-PL"/>
        </w:rPr>
        <w:t>10 stron n</w:t>
      </w:r>
      <w:r w:rsidR="00CB409F">
        <w:rPr>
          <w:color w:val="FF0000"/>
          <w:lang w:val="pl-PL"/>
        </w:rPr>
        <w:t>a R</w:t>
      </w:r>
      <w:r>
        <w:rPr>
          <w:color w:val="FF0000"/>
          <w:lang w:val="pl-PL"/>
        </w:rPr>
        <w:t xml:space="preserve">aporty z badań, 1 strona na </w:t>
      </w:r>
      <w:r w:rsidR="00CB409F">
        <w:rPr>
          <w:color w:val="FF0000"/>
          <w:lang w:val="pl-PL"/>
        </w:rPr>
        <w:t>Plakat</w:t>
      </w:r>
      <w:r>
        <w:rPr>
          <w:color w:val="FF0000"/>
          <w:lang w:val="pl-PL"/>
        </w:rPr>
        <w:t xml:space="preserve"> i 2 strony na W</w:t>
      </w:r>
      <w:r w:rsidRPr="00933B2C">
        <w:rPr>
          <w:color w:val="FF0000"/>
          <w:lang w:val="pl-PL"/>
        </w:rPr>
        <w:t>arsztaty.</w:t>
      </w:r>
      <w:r w:rsidR="005B2311">
        <w:rPr>
          <w:color w:val="FF0000"/>
          <w:lang w:val="pl-PL"/>
        </w:rPr>
        <w:t xml:space="preserve"> </w:t>
      </w:r>
      <w:r w:rsidR="005B2311" w:rsidRPr="005B2311">
        <w:rPr>
          <w:lang w:val="pl-PL"/>
        </w:rPr>
        <w:t xml:space="preserve">Rozważając limity stron, upewnij się, że </w:t>
      </w:r>
      <w:r w:rsidR="005B2311" w:rsidRPr="005B2311">
        <w:rPr>
          <w:lang w:val="pl-PL"/>
        </w:rPr>
        <w:t xml:space="preserve">rozmiary czcionek, marginesy ani rozmiar </w:t>
      </w:r>
      <w:r w:rsidR="005B2311">
        <w:rPr>
          <w:lang w:val="pl-PL"/>
        </w:rPr>
        <w:t>artykułu</w:t>
      </w:r>
      <w:r w:rsidR="005B2311" w:rsidRPr="005B2311">
        <w:rPr>
          <w:lang w:val="pl-PL"/>
        </w:rPr>
        <w:t xml:space="preserve"> nie zostały zmienione. </w:t>
      </w:r>
    </w:p>
    <w:p w:rsidR="005B2311" w:rsidRDefault="005B2311" w:rsidP="00974607">
      <w:pPr>
        <w:pStyle w:val="PMENormal"/>
        <w:rPr>
          <w:lang w:val="pl-PL"/>
        </w:rPr>
      </w:pPr>
      <w:r w:rsidRPr="005B2311">
        <w:rPr>
          <w:lang w:val="pl-PL"/>
        </w:rPr>
        <w:t>Gdy masz już swoją kopię, najprostszym sposobem pracy ze styl</w:t>
      </w:r>
      <w:r w:rsidR="00CB409F">
        <w:rPr>
          <w:lang w:val="pl-PL"/>
        </w:rPr>
        <w:t>ami jest rozpoczęcie pisania na</w:t>
      </w:r>
      <w:r w:rsidRPr="005B2311">
        <w:rPr>
          <w:lang w:val="pl-PL"/>
        </w:rPr>
        <w:t xml:space="preserve"> </w:t>
      </w:r>
      <w:r w:rsidR="00CB409F">
        <w:rPr>
          <w:lang w:val="pl-PL"/>
        </w:rPr>
        <w:t>gotowym, sformatowanym tekście.</w:t>
      </w:r>
      <w:r w:rsidRPr="005B2311">
        <w:rPr>
          <w:lang w:val="pl-PL"/>
        </w:rPr>
        <w:t xml:space="preserve"> Jeśli potrzebujesz nagłówka lub akapitu o określonym stylu w innej części dokumentu, po prostu skopiuj i wklej taki, który już masz.</w:t>
      </w:r>
      <w:r>
        <w:rPr>
          <w:lang w:val="pl-PL"/>
        </w:rPr>
        <w:t xml:space="preserve"> </w:t>
      </w:r>
      <w:r w:rsidRPr="005B2311">
        <w:rPr>
          <w:lang w:val="pl-PL"/>
        </w:rPr>
        <w:t xml:space="preserve">Musisz tylko upewnić się, że uwzględniłeś </w:t>
      </w:r>
      <w:r w:rsidRPr="005B2311">
        <w:rPr>
          <w:lang w:val="pl-PL"/>
        </w:rPr>
        <w:lastRenderedPageBreak/>
        <w:t xml:space="preserve">cały akapit, w tym znak akapitu na końcu (aby znaki akapitu i spacje były widoczne, ustaw program </w:t>
      </w:r>
      <w:r w:rsidRPr="005B2311">
        <w:rPr>
          <w:i/>
          <w:lang w:val="pl-PL"/>
        </w:rPr>
        <w:t>Word</w:t>
      </w:r>
      <w:r w:rsidRPr="005B2311">
        <w:rPr>
          <w:lang w:val="pl-PL"/>
        </w:rPr>
        <w:t xml:space="preserve"> na „Pokaż formatowanie”).</w:t>
      </w:r>
      <w:r>
        <w:rPr>
          <w:lang w:val="pl-PL"/>
        </w:rPr>
        <w:t xml:space="preserve"> </w:t>
      </w:r>
      <w:r w:rsidRPr="005B2311">
        <w:rPr>
          <w:lang w:val="pl-PL"/>
        </w:rPr>
        <w:t>Możesz także zobaczyć, który styl ma zastosowanie do określonego akapitu, umieszczając kursor w akapicie i patrząc na pole „styl” widoczne na pasku narzędzi formatowania (zwykle obok pól pokazujących czcionkę i rozmiar czcionki). Możesz zmienić styl akapitu, podświetlając akapit i wybierając żądany styl z wyboru pokazanego w tym polu stylu; może to być przydatne, jeśli musisz wkleić jakiś materiał z innego dokumentu. Jeśli nie widzisz paska narzędzi formatowania, możesz go wyświetlić za pomocą menu „Widok”.</w:t>
      </w:r>
    </w:p>
    <w:p w:rsidR="005B2311" w:rsidRPr="005B2311" w:rsidRDefault="005B2311" w:rsidP="00974607">
      <w:pPr>
        <w:pStyle w:val="PMENormal"/>
        <w:rPr>
          <w:b/>
          <w:bCs/>
          <w:lang w:val="pl-PL"/>
        </w:rPr>
      </w:pPr>
      <w:r w:rsidRPr="005B2311">
        <w:rPr>
          <w:b/>
          <w:bCs/>
          <w:lang w:val="pl-PL"/>
        </w:rPr>
        <w:t>Tabele, rysunki, cytaty, transkrypcje i listy wypunktowane</w:t>
      </w:r>
    </w:p>
    <w:p w:rsidR="005B2311" w:rsidRPr="00CB409F" w:rsidRDefault="005B2311" w:rsidP="00974607">
      <w:pPr>
        <w:pStyle w:val="PMENormal"/>
        <w:rPr>
          <w:lang w:val="pl-PL"/>
        </w:rPr>
      </w:pPr>
      <w:r w:rsidRPr="005B2311">
        <w:rPr>
          <w:lang w:val="pl-PL"/>
        </w:rPr>
        <w:t xml:space="preserve">Tabele są często trudne do zaprojektowania i przygotowania. Przewodnik stylistyczny APA zawiera przydatne informacje na temat prezentacji tabel. Tabele i </w:t>
      </w:r>
      <w:r>
        <w:rPr>
          <w:lang w:val="pl-PL"/>
        </w:rPr>
        <w:t>rysunki</w:t>
      </w:r>
      <w:r w:rsidRPr="005B2311">
        <w:rPr>
          <w:lang w:val="pl-PL"/>
        </w:rPr>
        <w:t xml:space="preserve"> można opisywać. Upewnij się, że tabele i ry</w:t>
      </w:r>
      <w:r>
        <w:rPr>
          <w:lang w:val="pl-PL"/>
        </w:rPr>
        <w:t>sunki</w:t>
      </w:r>
      <w:r w:rsidRPr="005B2311">
        <w:rPr>
          <w:lang w:val="pl-PL"/>
        </w:rPr>
        <w:t xml:space="preserve"> nie wychodzą poza marginesy strony. Staraj się unikać stosowania zbyt dużej skali szarości</w:t>
      </w:r>
      <w:r w:rsidR="00CB409F">
        <w:rPr>
          <w:lang w:val="pl-PL"/>
        </w:rPr>
        <w:t>. D</w:t>
      </w:r>
      <w:r w:rsidRPr="005B2311">
        <w:rPr>
          <w:lang w:val="pl-PL"/>
        </w:rPr>
        <w:t xml:space="preserve">obrym sposobem sprawdzenia jest wykonanie kserokopii dokumentu po jego wydrukowaniu. </w:t>
      </w:r>
      <w:r w:rsidRPr="00CB409F">
        <w:rPr>
          <w:lang w:val="pl-PL"/>
        </w:rPr>
        <w:t>Jeśli kserokopia wygląda dobrze, powinna dobrze się wydrukować. Przykład:</w:t>
      </w:r>
    </w:p>
    <w:p w:rsidR="005B2311" w:rsidRPr="00CB409F" w:rsidRDefault="005B2311" w:rsidP="00974607">
      <w:pPr>
        <w:pStyle w:val="PMENormal"/>
        <w:rPr>
          <w:lang w:val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20"/>
        <w:gridCol w:w="3402"/>
        <w:gridCol w:w="3119"/>
      </w:tblGrid>
      <w:tr w:rsidR="00974607" w:rsidRPr="00CB409F">
        <w:trPr>
          <w:jc w:val="center"/>
        </w:trPr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607" w:rsidRPr="00CB409F" w:rsidRDefault="005B2311" w:rsidP="007B57EF">
            <w:pPr>
              <w:pStyle w:val="PMENormal"/>
              <w:jc w:val="center"/>
              <w:rPr>
                <w:lang w:val="pl-PL"/>
              </w:rPr>
            </w:pPr>
            <w:r w:rsidRPr="00CB409F">
              <w:rPr>
                <w:lang w:val="pl-PL"/>
              </w:rPr>
              <w:t>Rok konferencji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607" w:rsidRPr="00CB409F" w:rsidRDefault="005B2311" w:rsidP="007B57EF">
            <w:pPr>
              <w:pStyle w:val="PMENormal"/>
              <w:jc w:val="center"/>
              <w:rPr>
                <w:lang w:val="pl-PL"/>
              </w:rPr>
            </w:pPr>
            <w:r w:rsidRPr="00CB409F">
              <w:rPr>
                <w:lang w:val="pl-PL"/>
              </w:rPr>
              <w:t>Liczba dobrych wyników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607" w:rsidRPr="00CB409F" w:rsidRDefault="005B2311" w:rsidP="007B57EF">
            <w:pPr>
              <w:pStyle w:val="PMENormal"/>
              <w:jc w:val="center"/>
              <w:rPr>
                <w:lang w:val="pl-PL"/>
              </w:rPr>
            </w:pPr>
            <w:r w:rsidRPr="00CB409F">
              <w:rPr>
                <w:lang w:val="pl-PL"/>
              </w:rPr>
              <w:t>Liczba złych wyników</w:t>
            </w:r>
          </w:p>
        </w:tc>
      </w:tr>
      <w:tr w:rsidR="00974607" w:rsidRPr="00CB409F">
        <w:trPr>
          <w:jc w:val="center"/>
        </w:trPr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607" w:rsidRPr="00CB409F" w:rsidRDefault="00974607" w:rsidP="007B57EF">
            <w:pPr>
              <w:pStyle w:val="PMENormal"/>
              <w:jc w:val="center"/>
              <w:rPr>
                <w:lang w:val="pl-PL"/>
              </w:rPr>
            </w:pPr>
            <w:r w:rsidRPr="00CB409F">
              <w:rPr>
                <w:lang w:val="pl-PL"/>
              </w:rPr>
              <w:t>2002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607" w:rsidRPr="00CB409F" w:rsidRDefault="00974607" w:rsidP="007B57EF">
            <w:pPr>
              <w:pStyle w:val="PMENormal"/>
              <w:jc w:val="center"/>
              <w:rPr>
                <w:lang w:val="pl-PL"/>
              </w:rPr>
            </w:pPr>
            <w:r w:rsidRPr="00CB409F">
              <w:rPr>
                <w:lang w:val="pl-PL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607" w:rsidRPr="00CB409F" w:rsidRDefault="00974607" w:rsidP="007B57EF">
            <w:pPr>
              <w:pStyle w:val="PMENormal"/>
              <w:jc w:val="center"/>
              <w:rPr>
                <w:lang w:val="pl-PL"/>
              </w:rPr>
            </w:pPr>
            <w:r w:rsidRPr="00CB409F">
              <w:rPr>
                <w:lang w:val="pl-PL"/>
              </w:rPr>
              <w:t>18</w:t>
            </w:r>
          </w:p>
        </w:tc>
      </w:tr>
      <w:tr w:rsidR="00974607" w:rsidRPr="00CB409F">
        <w:trPr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974607" w:rsidRPr="00CB409F" w:rsidRDefault="00974607" w:rsidP="007B57EF">
            <w:pPr>
              <w:pStyle w:val="PMENormal"/>
              <w:jc w:val="center"/>
              <w:rPr>
                <w:lang w:val="pl-PL"/>
              </w:rPr>
            </w:pPr>
            <w:r w:rsidRPr="00CB409F">
              <w:rPr>
                <w:lang w:val="pl-PL"/>
              </w:rPr>
              <w:t>2003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4607" w:rsidRPr="00CB409F" w:rsidRDefault="00974607" w:rsidP="007B57EF">
            <w:pPr>
              <w:pStyle w:val="PMENormal"/>
              <w:jc w:val="center"/>
              <w:rPr>
                <w:lang w:val="pl-PL"/>
              </w:rPr>
            </w:pPr>
            <w:r w:rsidRPr="00CB409F">
              <w:rPr>
                <w:lang w:val="pl-PL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74607" w:rsidRPr="00CB409F" w:rsidRDefault="00974607" w:rsidP="007B57EF">
            <w:pPr>
              <w:pStyle w:val="PMENormal"/>
              <w:jc w:val="center"/>
              <w:rPr>
                <w:lang w:val="pl-PL"/>
              </w:rPr>
            </w:pPr>
            <w:r w:rsidRPr="00CB409F">
              <w:rPr>
                <w:lang w:val="pl-PL"/>
              </w:rPr>
              <w:t>36</w:t>
            </w:r>
          </w:p>
        </w:tc>
      </w:tr>
      <w:tr w:rsidR="00974607" w:rsidRPr="00CB409F">
        <w:trPr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607" w:rsidRPr="00CB409F" w:rsidRDefault="005B2311" w:rsidP="007B57EF">
            <w:pPr>
              <w:pStyle w:val="PMENormal"/>
              <w:jc w:val="center"/>
              <w:rPr>
                <w:lang w:val="pl-PL"/>
              </w:rPr>
            </w:pPr>
            <w:r w:rsidRPr="00CB409F">
              <w:rPr>
                <w:lang w:val="pl-PL"/>
              </w:rPr>
              <w:t>Suma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607" w:rsidRPr="00CB409F" w:rsidRDefault="00974607" w:rsidP="007B57EF">
            <w:pPr>
              <w:pStyle w:val="PMENormal"/>
              <w:jc w:val="center"/>
              <w:rPr>
                <w:lang w:val="pl-PL"/>
              </w:rPr>
            </w:pPr>
            <w:r w:rsidRPr="00CB409F">
              <w:rPr>
                <w:lang w:val="pl-PL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607" w:rsidRPr="00CB409F" w:rsidRDefault="00974607" w:rsidP="007B57EF">
            <w:pPr>
              <w:pStyle w:val="PMENormal"/>
              <w:jc w:val="center"/>
              <w:rPr>
                <w:lang w:val="pl-PL"/>
              </w:rPr>
            </w:pPr>
            <w:r w:rsidRPr="00CB409F">
              <w:rPr>
                <w:lang w:val="pl-PL"/>
              </w:rPr>
              <w:t>54</w:t>
            </w:r>
          </w:p>
        </w:tc>
      </w:tr>
    </w:tbl>
    <w:p w:rsidR="00974607" w:rsidRPr="005B2311" w:rsidRDefault="005B2311" w:rsidP="00974607">
      <w:pPr>
        <w:pStyle w:val="PMEFigTitle"/>
        <w:rPr>
          <w:lang w:val="pl-PL"/>
        </w:rPr>
      </w:pPr>
      <w:r w:rsidRPr="005B2311">
        <w:rPr>
          <w:szCs w:val="26"/>
          <w:lang w:val="pl-PL"/>
        </w:rPr>
        <w:t>Tabela</w:t>
      </w:r>
      <w:r w:rsidR="00974607" w:rsidRPr="005B2311">
        <w:rPr>
          <w:szCs w:val="26"/>
          <w:lang w:val="pl-PL"/>
        </w:rPr>
        <w:t xml:space="preserve"> 1: </w:t>
      </w:r>
      <w:r w:rsidRPr="005B2311">
        <w:rPr>
          <w:szCs w:val="26"/>
          <w:lang w:val="pl-PL"/>
        </w:rPr>
        <w:t>Tytuły tabeli, rysunki, diagramy</w:t>
      </w:r>
      <w:r w:rsidR="00974607" w:rsidRPr="005B2311">
        <w:rPr>
          <w:lang w:val="pl-PL"/>
        </w:rPr>
        <w:t>.</w:t>
      </w:r>
    </w:p>
    <w:p w:rsidR="005B2311" w:rsidRPr="005B2311" w:rsidRDefault="005B2311" w:rsidP="005B2311">
      <w:pPr>
        <w:pStyle w:val="PMENormal"/>
        <w:rPr>
          <w:lang w:val="pl-PL"/>
        </w:rPr>
      </w:pPr>
    </w:p>
    <w:p w:rsidR="00974607" w:rsidRPr="005B2311" w:rsidRDefault="005B2311" w:rsidP="005B2311">
      <w:pPr>
        <w:rPr>
          <w:lang w:val="pl-PL"/>
        </w:rPr>
      </w:pPr>
      <w:r w:rsidRPr="005B2311">
        <w:rPr>
          <w:lang w:val="pl-PL"/>
        </w:rPr>
        <w:t>Cytaty krótsze niż dwa wiersze są zwykle umieszczane w tekście w cudzysłowie. W przypadku dłuższych cytatów użyj następującego stylu.</w:t>
      </w:r>
    </w:p>
    <w:p w:rsidR="00974607" w:rsidRPr="00CB409F" w:rsidRDefault="00CB409F" w:rsidP="00974607">
      <w:pPr>
        <w:pStyle w:val="PMEQuote"/>
        <w:rPr>
          <w:lang w:val="pl-PL"/>
        </w:rPr>
      </w:pPr>
      <w:r w:rsidRPr="00CB409F">
        <w:rPr>
          <w:lang w:val="pl-PL"/>
        </w:rPr>
        <w:t xml:space="preserve">Cytaty z wcięciem (więcej niż dwa wiersze). Jeśli chcesz, możesz również użyć tego stylu do innego tekstu, który chcesz wyświetlić bez użycia tabeli. </w:t>
      </w:r>
      <w:r>
        <w:rPr>
          <w:lang w:val="pl-PL"/>
        </w:rPr>
        <w:t>Nie wolno ci</w:t>
      </w:r>
      <w:r w:rsidRPr="00CB409F">
        <w:rPr>
          <w:lang w:val="pl-PL"/>
        </w:rPr>
        <w:t xml:space="preserve"> używać czcionki te</w:t>
      </w:r>
      <w:r>
        <w:rPr>
          <w:lang w:val="pl-PL"/>
        </w:rPr>
        <w:t>go rozmiaru dla całego artykułu.</w:t>
      </w:r>
    </w:p>
    <w:p w:rsidR="00974607" w:rsidRPr="00CB409F" w:rsidRDefault="00CB409F" w:rsidP="00974607">
      <w:pPr>
        <w:pStyle w:val="PMENormal"/>
        <w:rPr>
          <w:lang w:val="pl-PL"/>
        </w:rPr>
      </w:pPr>
      <w:r w:rsidRPr="00CB409F">
        <w:rPr>
          <w:lang w:val="pl-PL"/>
        </w:rPr>
        <w:t>Jeśli chcesz dołączyć transkrypcje, możesz użyć stylów, jak w poniższych przykładach.</w:t>
      </w:r>
    </w:p>
    <w:p w:rsidR="00974607" w:rsidRPr="00CB409F" w:rsidRDefault="00974607" w:rsidP="00974607">
      <w:pPr>
        <w:pStyle w:val="PMENumberedtranscript"/>
        <w:rPr>
          <w:lang w:val="en-US"/>
        </w:rPr>
      </w:pPr>
      <w:r w:rsidRPr="00CB409F">
        <w:rPr>
          <w:lang w:val="en-US"/>
        </w:rPr>
        <w:t xml:space="preserve">1 </w:t>
      </w:r>
      <w:r w:rsidRPr="00CB409F">
        <w:rPr>
          <w:lang w:val="en-US"/>
        </w:rPr>
        <w:tab/>
        <w:t>I:</w:t>
      </w:r>
      <w:r w:rsidRPr="00CB409F">
        <w:rPr>
          <w:lang w:val="en-US"/>
        </w:rPr>
        <w:tab/>
        <w:t>So what did you notice about the two figures?</w:t>
      </w:r>
    </w:p>
    <w:p w:rsidR="00974607" w:rsidRDefault="00974607" w:rsidP="00974607">
      <w:pPr>
        <w:pStyle w:val="PMENumberedtranscript"/>
      </w:pPr>
      <w:r>
        <w:t>2</w:t>
      </w:r>
      <w:r>
        <w:tab/>
        <w:t xml:space="preserve">S1: </w:t>
      </w:r>
      <w:r>
        <w:tab/>
        <w:t>I saw that there were major differences.</w:t>
      </w:r>
    </w:p>
    <w:p w:rsidR="00974607" w:rsidRDefault="00974607" w:rsidP="00974607">
      <w:pPr>
        <w:pStyle w:val="PMENumberedtranscript"/>
      </w:pPr>
      <w:r>
        <w:t>3</w:t>
      </w:r>
      <w:r>
        <w:tab/>
        <w:t xml:space="preserve">S3: </w:t>
      </w:r>
      <w:r>
        <w:tab/>
        <w:t xml:space="preserve">So did I, but in my figures one was a great deal larger … almost twice </w:t>
      </w:r>
    </w:p>
    <w:p w:rsidR="00974607" w:rsidRDefault="00974607" w:rsidP="00974607">
      <w:pPr>
        <w:pStyle w:val="PMENumberedtranscript"/>
      </w:pPr>
      <w:r>
        <w:t xml:space="preserve">4  </w:t>
      </w:r>
      <w:r>
        <w:tab/>
      </w:r>
      <w:r>
        <w:tab/>
        <w:t xml:space="preserve">the area … </w:t>
      </w:r>
      <w:smartTag w:uri="urn:schemas-microsoft-com:office:smarttags" w:element="metricconverter">
        <w:smartTagPr>
          <w:attr w:name="ProductID" w:val="4 in"/>
        </w:smartTagPr>
        <w:r>
          <w:t>4 in</w:t>
        </w:r>
      </w:smartTag>
      <w:r>
        <w:t xml:space="preserve"> fact.</w:t>
      </w:r>
    </w:p>
    <w:p w:rsidR="00C46F04" w:rsidRDefault="00C46F04" w:rsidP="00974607">
      <w:pPr>
        <w:pStyle w:val="PMENormal"/>
      </w:pPr>
    </w:p>
    <w:p w:rsidR="00974607" w:rsidRDefault="00CB409F" w:rsidP="00974607">
      <w:pPr>
        <w:pStyle w:val="PMENormal"/>
      </w:pPr>
      <w:proofErr w:type="spellStart"/>
      <w:r>
        <w:lastRenderedPageBreak/>
        <w:t>Drugim</w:t>
      </w:r>
      <w:proofErr w:type="spellEnd"/>
      <w:r>
        <w:t xml:space="preserve"> </w:t>
      </w:r>
      <w:proofErr w:type="spellStart"/>
      <w:r>
        <w:t>sposobem</w:t>
      </w:r>
      <w:proofErr w:type="spellEnd"/>
      <w:r>
        <w:t xml:space="preserve"> jest:</w:t>
      </w:r>
    </w:p>
    <w:p w:rsidR="00974607" w:rsidRDefault="00974607" w:rsidP="00974607">
      <w:pPr>
        <w:pStyle w:val="PMETranscript"/>
      </w:pPr>
      <w:r>
        <w:t>Interviewer:</w:t>
      </w:r>
      <w:r>
        <w:tab/>
        <w:t>So what did you notice about the relationship?</w:t>
      </w:r>
    </w:p>
    <w:p w:rsidR="00974607" w:rsidRDefault="00974607" w:rsidP="00974607">
      <w:pPr>
        <w:pStyle w:val="PMETranscript"/>
      </w:pPr>
      <w:smartTag w:uri="urn:schemas-microsoft-com:office:smarttags" w:element="City">
        <w:smartTag w:uri="urn:schemas-microsoft-com:office:smarttags" w:element="place">
          <w:r>
            <w:t>Elizabeth</w:t>
          </w:r>
        </w:smartTag>
      </w:smartTag>
      <w:r>
        <w:t>:</w:t>
      </w:r>
      <w:r>
        <w:tab/>
        <w:t>One figure is always twice the area of the other.</w:t>
      </w:r>
    </w:p>
    <w:p w:rsidR="00974607" w:rsidRPr="00CB409F" w:rsidRDefault="00CB409F" w:rsidP="00974607">
      <w:pPr>
        <w:pStyle w:val="PMEHeading3"/>
        <w:rPr>
          <w:lang w:val="pl-PL"/>
        </w:rPr>
      </w:pPr>
      <w:r w:rsidRPr="00CB409F">
        <w:rPr>
          <w:lang w:val="pl-PL"/>
        </w:rPr>
        <w:t>Konfiguracja i formatowanie strony</w:t>
      </w:r>
      <w:r w:rsidR="00974607" w:rsidRPr="00CB409F">
        <w:rPr>
          <w:lang w:val="pl-PL"/>
        </w:rPr>
        <w:t xml:space="preserve"> </w:t>
      </w:r>
    </w:p>
    <w:p w:rsidR="00CB409F" w:rsidRDefault="00CB409F" w:rsidP="00974607">
      <w:pPr>
        <w:pStyle w:val="PMENormal"/>
        <w:rPr>
          <w:lang w:val="pl-PL"/>
        </w:rPr>
      </w:pPr>
      <w:r w:rsidRPr="00CB409F">
        <w:rPr>
          <w:lang w:val="pl-PL"/>
        </w:rPr>
        <w:t xml:space="preserve">Proszę stosować formatowanie dla papieru A4, rozmiar 21 cm x 29,7 cm. Jest to istotne dla przygotowania </w:t>
      </w:r>
      <w:r>
        <w:rPr>
          <w:lang w:val="pl-PL"/>
        </w:rPr>
        <w:t>monografii</w:t>
      </w:r>
      <w:r w:rsidRPr="00CB409F">
        <w:rPr>
          <w:lang w:val="pl-PL"/>
        </w:rPr>
        <w:t xml:space="preserve">. Marginesy należy ustawić na 2,5 cm u góry i 2,5 cm u dołu; 2,5 cm w lewo i 2,5 cm w prawo. Jeśli musisz pracować w formacie </w:t>
      </w:r>
      <w:proofErr w:type="spellStart"/>
      <w:r w:rsidRPr="00DF59B1">
        <w:rPr>
          <w:i/>
          <w:lang w:val="pl-PL"/>
        </w:rPr>
        <w:t>Letter</w:t>
      </w:r>
      <w:proofErr w:type="spellEnd"/>
      <w:r>
        <w:rPr>
          <w:lang w:val="pl-PL"/>
        </w:rPr>
        <w:t>,</w:t>
      </w:r>
      <w:r w:rsidRPr="00CB409F">
        <w:rPr>
          <w:lang w:val="pl-PL"/>
        </w:rPr>
        <w:t xml:space="preserve"> podczas przygotowywania wersji roboczych, marginesy wynoszą 0,6 cala u</w:t>
      </w:r>
      <w:bookmarkStart w:id="0" w:name="_GoBack"/>
      <w:bookmarkEnd w:id="0"/>
      <w:r w:rsidRPr="00CB409F">
        <w:rPr>
          <w:lang w:val="pl-PL"/>
        </w:rPr>
        <w:t xml:space="preserve"> góry i 0,7 cala u dołu oraz 0,9 cala po lewej i prawej stronie dla papieru US 8,5 cala x 11 cali. Po zakończeniu pracy pamiętaj, aby przed wysłaniem przekonwertować ją z powrotem do formatu A4 z powyższymi marginesami A4.</w:t>
      </w:r>
    </w:p>
    <w:p w:rsidR="00974607" w:rsidRPr="00CB409F" w:rsidRDefault="00CB409F" w:rsidP="00974607">
      <w:pPr>
        <w:pStyle w:val="PMEHeading3"/>
        <w:rPr>
          <w:lang w:val="pl-PL"/>
        </w:rPr>
      </w:pPr>
      <w:r w:rsidRPr="00CB409F">
        <w:rPr>
          <w:lang w:val="pl-PL"/>
        </w:rPr>
        <w:t>Prezentacja bibliografii</w:t>
      </w:r>
    </w:p>
    <w:p w:rsidR="00974607" w:rsidRPr="00CB409F" w:rsidRDefault="00CB409F" w:rsidP="00974607">
      <w:pPr>
        <w:pStyle w:val="PMENormal"/>
        <w:rPr>
          <w:lang w:val="pl-PL"/>
        </w:rPr>
      </w:pPr>
      <w:r w:rsidRPr="00CB409F">
        <w:rPr>
          <w:lang w:val="pl-PL"/>
        </w:rPr>
        <w:t>Odnośniki powinny być zgodne ze stylem APA (http://www.apastyle.org/), jak pokazano w poniższych przykładach</w:t>
      </w:r>
      <w:r w:rsidR="00974607" w:rsidRPr="00CB409F">
        <w:rPr>
          <w:lang w:val="pl-PL"/>
        </w:rPr>
        <w:t xml:space="preserve">. </w:t>
      </w:r>
    </w:p>
    <w:p w:rsidR="00974607" w:rsidRPr="00CB409F" w:rsidRDefault="00974607" w:rsidP="00974607">
      <w:pPr>
        <w:pStyle w:val="PMEReferences"/>
        <w:rPr>
          <w:lang w:val="pl-PL"/>
        </w:rPr>
      </w:pPr>
    </w:p>
    <w:p w:rsidR="00974607" w:rsidRDefault="0041535F" w:rsidP="00974607">
      <w:pPr>
        <w:pStyle w:val="PMEReferences"/>
        <w:numPr>
          <w:ilvl w:val="0"/>
          <w:numId w:val="1"/>
        </w:numPr>
      </w:pPr>
      <w:r>
        <w:t>Journal article, one author</w:t>
      </w:r>
      <w:r w:rsidR="00974607">
        <w:t>:</w:t>
      </w:r>
    </w:p>
    <w:p w:rsidR="00974607" w:rsidRDefault="0041535F" w:rsidP="00FD2B2D">
      <w:pPr>
        <w:pStyle w:val="PMEReferences"/>
      </w:pPr>
      <w:proofErr w:type="spellStart"/>
      <w:r>
        <w:t>Begle</w:t>
      </w:r>
      <w:proofErr w:type="spellEnd"/>
      <w:r>
        <w:t>, A. G.</w:t>
      </w:r>
      <w:r w:rsidR="00974607" w:rsidRPr="00FD2B2D">
        <w:t xml:space="preserve"> </w:t>
      </w:r>
      <w:r>
        <w:t>(</w:t>
      </w:r>
      <w:r w:rsidR="00974607" w:rsidRPr="00FD2B2D">
        <w:t>1969</w:t>
      </w:r>
      <w:r>
        <w:t>).</w:t>
      </w:r>
      <w:r w:rsidR="00974607" w:rsidRPr="00FD2B2D">
        <w:t xml:space="preserve"> The role of research in the improvement of mathematics education</w:t>
      </w:r>
      <w:r>
        <w:t>.</w:t>
      </w:r>
      <w:r w:rsidR="00974607" w:rsidRPr="00FD2B2D">
        <w:t xml:space="preserve"> </w:t>
      </w:r>
      <w:r w:rsidR="00974607" w:rsidRPr="004A079A">
        <w:rPr>
          <w:i/>
        </w:rPr>
        <w:t>Educational</w:t>
      </w:r>
      <w:r w:rsidR="00974607">
        <w:rPr>
          <w:i/>
        </w:rPr>
        <w:t xml:space="preserve"> Studies in Mathematics</w:t>
      </w:r>
      <w:r w:rsidR="00974607" w:rsidRPr="0041535F">
        <w:rPr>
          <w:i/>
        </w:rPr>
        <w:t>, 2,</w:t>
      </w:r>
      <w:r w:rsidR="00974607" w:rsidRPr="0041535F">
        <w:t xml:space="preserve"> 232</w:t>
      </w:r>
      <w:r w:rsidR="00974607">
        <w:t>-244.</w:t>
      </w:r>
    </w:p>
    <w:p w:rsidR="0041535F" w:rsidRPr="0041535F" w:rsidRDefault="0041535F" w:rsidP="0041535F">
      <w:pPr>
        <w:pStyle w:val="PMEReferences"/>
        <w:numPr>
          <w:ilvl w:val="0"/>
          <w:numId w:val="1"/>
        </w:numPr>
      </w:pPr>
      <w:r w:rsidRPr="0041535F">
        <w:t xml:space="preserve">Journal article, </w:t>
      </w:r>
      <w:r>
        <w:t>two or more</w:t>
      </w:r>
      <w:r w:rsidRPr="0041535F">
        <w:t xml:space="preserve"> author</w:t>
      </w:r>
      <w:r>
        <w:t>s</w:t>
      </w:r>
      <w:r w:rsidRPr="0041535F">
        <w:t>:</w:t>
      </w:r>
    </w:p>
    <w:p w:rsidR="0041535F" w:rsidRPr="0041535F" w:rsidRDefault="0041535F" w:rsidP="0041535F">
      <w:pPr>
        <w:pStyle w:val="PMEReferences"/>
      </w:pPr>
      <w:r w:rsidRPr="0041535F">
        <w:t xml:space="preserve">Clements, D. H., </w:t>
      </w:r>
      <w:proofErr w:type="spellStart"/>
      <w:r w:rsidRPr="0041535F">
        <w:t>Swaminathan</w:t>
      </w:r>
      <w:proofErr w:type="spellEnd"/>
      <w:r w:rsidRPr="0041535F">
        <w:t xml:space="preserve">, S., Hannibal, M. A. Z., &amp; </w:t>
      </w:r>
      <w:proofErr w:type="spellStart"/>
      <w:r w:rsidRPr="0041535F">
        <w:t>Sa</w:t>
      </w:r>
      <w:r>
        <w:t>rama</w:t>
      </w:r>
      <w:proofErr w:type="spellEnd"/>
      <w:r>
        <w:t>, J. (1999). Young children’</w:t>
      </w:r>
      <w:r w:rsidRPr="0041535F">
        <w:t xml:space="preserve">s concepts of shape. </w:t>
      </w:r>
      <w:r w:rsidRPr="0041535F">
        <w:rPr>
          <w:i/>
        </w:rPr>
        <w:t>Journal for Research in Mathematics Education</w:t>
      </w:r>
      <w:r>
        <w:t xml:space="preserve">, </w:t>
      </w:r>
      <w:r w:rsidRPr="0041535F">
        <w:rPr>
          <w:i/>
        </w:rPr>
        <w:t>2,</w:t>
      </w:r>
      <w:r>
        <w:t xml:space="preserve"> 192-212</w:t>
      </w:r>
      <w:r w:rsidRPr="0041535F">
        <w:t>.</w:t>
      </w:r>
    </w:p>
    <w:p w:rsidR="00974607" w:rsidRDefault="00682BD2" w:rsidP="00974607">
      <w:pPr>
        <w:pStyle w:val="PMEReferences"/>
        <w:numPr>
          <w:ilvl w:val="0"/>
          <w:numId w:val="1"/>
        </w:numPr>
      </w:pPr>
      <w:r>
        <w:t>Volume</w:t>
      </w:r>
      <w:r w:rsidR="00974607">
        <w:t>:</w:t>
      </w:r>
    </w:p>
    <w:p w:rsidR="00974607" w:rsidRDefault="0041535F" w:rsidP="00FD2B2D">
      <w:pPr>
        <w:pStyle w:val="PMEReferences"/>
      </w:pPr>
      <w:proofErr w:type="spellStart"/>
      <w:r w:rsidRPr="0041535F">
        <w:t>Freudenthal</w:t>
      </w:r>
      <w:proofErr w:type="spellEnd"/>
      <w:r w:rsidRPr="0041535F">
        <w:t xml:space="preserve">, H. (1983). </w:t>
      </w:r>
      <w:r w:rsidRPr="0041535F">
        <w:rPr>
          <w:i/>
        </w:rPr>
        <w:t>Didactical phenomenology of mathematical structures.</w:t>
      </w:r>
      <w:r w:rsidRPr="0041535F">
        <w:t xml:space="preserve"> Dordrecht: Kluwer.</w:t>
      </w:r>
    </w:p>
    <w:p w:rsidR="00974607" w:rsidRPr="009B2787" w:rsidRDefault="00682BD2" w:rsidP="00986A4D">
      <w:pPr>
        <w:pStyle w:val="PMEReferences"/>
        <w:numPr>
          <w:ilvl w:val="0"/>
          <w:numId w:val="1"/>
        </w:numPr>
        <w:tabs>
          <w:tab w:val="left" w:pos="567"/>
        </w:tabs>
        <w:rPr>
          <w:i/>
        </w:rPr>
      </w:pPr>
      <w:r>
        <w:t>C</w:t>
      </w:r>
      <w:r w:rsidR="00974607">
        <w:t>hapter in a</w:t>
      </w:r>
      <w:r w:rsidR="0041535F">
        <w:t>n edited</w:t>
      </w:r>
      <w:r w:rsidR="00974607">
        <w:t xml:space="preserve"> </w:t>
      </w:r>
      <w:r w:rsidR="0041535F">
        <w:t>volume</w:t>
      </w:r>
      <w:r>
        <w:t xml:space="preserve"> or an article in edited conference proceedings</w:t>
      </w:r>
      <w:r w:rsidR="00974607">
        <w:t>:</w:t>
      </w:r>
    </w:p>
    <w:p w:rsidR="007B57EF" w:rsidRDefault="0041535F" w:rsidP="0041535F">
      <w:pPr>
        <w:pStyle w:val="PMEReferences"/>
      </w:pPr>
      <w:r w:rsidRPr="0041535F">
        <w:t>Duval, R. (2008). Eight problems for a semiotic approach in mathematics education. In L. Rad</w:t>
      </w:r>
      <w:r w:rsidR="00682BD2">
        <w:t xml:space="preserve">ford, G. </w:t>
      </w:r>
      <w:proofErr w:type="spellStart"/>
      <w:r w:rsidR="00682BD2">
        <w:t>Schubring</w:t>
      </w:r>
      <w:proofErr w:type="spellEnd"/>
      <w:r w:rsidR="00682BD2">
        <w:t xml:space="preserve"> &amp; F. Seeger</w:t>
      </w:r>
      <w:r w:rsidRPr="0041535F">
        <w:t xml:space="preserve"> (</w:t>
      </w:r>
      <w:proofErr w:type="spellStart"/>
      <w:r w:rsidRPr="0041535F">
        <w:t>Εds</w:t>
      </w:r>
      <w:proofErr w:type="spellEnd"/>
      <w:r w:rsidRPr="0041535F">
        <w:t xml:space="preserve">.), </w:t>
      </w:r>
      <w:r w:rsidRPr="0041535F">
        <w:rPr>
          <w:i/>
        </w:rPr>
        <w:t>Semiotics in mathematics education: epistemology, history, classroom, and culture</w:t>
      </w:r>
      <w:r w:rsidRPr="0041535F">
        <w:t xml:space="preserve"> (pp. 39-62). Rotterdam, The Netherlands: Sense Publishers.</w:t>
      </w:r>
    </w:p>
    <w:sectPr w:rsidR="007B57EF" w:rsidSect="00F30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4FFA"/>
    <w:multiLevelType w:val="hybridMultilevel"/>
    <w:tmpl w:val="690C8C88"/>
    <w:lvl w:ilvl="0" w:tplc="250201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07"/>
    <w:rsid w:val="00014B8C"/>
    <w:rsid w:val="000E530C"/>
    <w:rsid w:val="000F6661"/>
    <w:rsid w:val="002302F1"/>
    <w:rsid w:val="003A5D28"/>
    <w:rsid w:val="0041535F"/>
    <w:rsid w:val="004A079A"/>
    <w:rsid w:val="004D34B0"/>
    <w:rsid w:val="00595135"/>
    <w:rsid w:val="005B2311"/>
    <w:rsid w:val="005D503A"/>
    <w:rsid w:val="00682BD2"/>
    <w:rsid w:val="00764FA8"/>
    <w:rsid w:val="007B57EF"/>
    <w:rsid w:val="008665FC"/>
    <w:rsid w:val="00933B2C"/>
    <w:rsid w:val="00974607"/>
    <w:rsid w:val="00986A4D"/>
    <w:rsid w:val="00B41A9F"/>
    <w:rsid w:val="00BE1A7D"/>
    <w:rsid w:val="00C46F04"/>
    <w:rsid w:val="00CB409F"/>
    <w:rsid w:val="00CC0A24"/>
    <w:rsid w:val="00DC3225"/>
    <w:rsid w:val="00DF59B1"/>
    <w:rsid w:val="00E247D1"/>
    <w:rsid w:val="00F30202"/>
    <w:rsid w:val="00F3051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99DFDE"/>
  <w15:docId w15:val="{2D453AA6-7ECB-47A2-A9BD-54DA7C81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qFormat/>
    <w:rsid w:val="00974607"/>
    <w:pPr>
      <w:autoSpaceDE w:val="0"/>
      <w:autoSpaceDN w:val="0"/>
      <w:spacing w:after="120" w:line="320" w:lineRule="exact"/>
      <w:jc w:val="both"/>
    </w:pPr>
    <w:rPr>
      <w:rFonts w:ascii="Times New Roman" w:eastAsia="Times New Roman" w:hAnsi="Times New Roman"/>
      <w:sz w:val="28"/>
      <w:szCs w:val="28"/>
      <w:lang w:val="en-AU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ndnote">
    <w:name w:val="Endnote"/>
    <w:basedOn w:val="Normalny"/>
    <w:uiPriority w:val="99"/>
    <w:rsid w:val="00974607"/>
    <w:pPr>
      <w:spacing w:line="320" w:lineRule="atLeast"/>
    </w:pPr>
  </w:style>
  <w:style w:type="paragraph" w:customStyle="1" w:styleId="PMEAuthorInstitution">
    <w:name w:val="PME Author/Institution"/>
    <w:basedOn w:val="PMENormal"/>
    <w:uiPriority w:val="99"/>
    <w:rsid w:val="00974607"/>
    <w:pPr>
      <w:jc w:val="center"/>
    </w:pPr>
  </w:style>
  <w:style w:type="paragraph" w:customStyle="1" w:styleId="PMEAbstract">
    <w:name w:val="PME Abstract"/>
    <w:basedOn w:val="PMENormal"/>
    <w:uiPriority w:val="99"/>
    <w:rsid w:val="00974607"/>
    <w:rPr>
      <w:i/>
      <w:iCs/>
    </w:rPr>
  </w:style>
  <w:style w:type="paragraph" w:customStyle="1" w:styleId="PMENormal">
    <w:name w:val="PME Normal"/>
    <w:uiPriority w:val="99"/>
    <w:rsid w:val="00974607"/>
    <w:pPr>
      <w:autoSpaceDE w:val="0"/>
      <w:autoSpaceDN w:val="0"/>
      <w:spacing w:after="120" w:line="320" w:lineRule="atLeast"/>
      <w:jc w:val="both"/>
    </w:pPr>
    <w:rPr>
      <w:rFonts w:ascii="Times New Roman" w:eastAsia="Times New Roman" w:hAnsi="Times New Roman"/>
      <w:sz w:val="28"/>
      <w:szCs w:val="28"/>
      <w:lang w:val="en-AU" w:eastAsia="cs-CZ"/>
    </w:rPr>
  </w:style>
  <w:style w:type="paragraph" w:customStyle="1" w:styleId="PMEHeading1">
    <w:name w:val="PME Heading 1"/>
    <w:basedOn w:val="PMENormal"/>
    <w:uiPriority w:val="99"/>
    <w:rsid w:val="00974607"/>
    <w:pPr>
      <w:keepNext/>
      <w:spacing w:before="120"/>
      <w:jc w:val="center"/>
      <w:outlineLvl w:val="0"/>
    </w:pPr>
    <w:rPr>
      <w:b/>
      <w:bCs/>
      <w:caps/>
      <w:kern w:val="28"/>
      <w:sz w:val="32"/>
      <w:szCs w:val="32"/>
    </w:rPr>
  </w:style>
  <w:style w:type="paragraph" w:customStyle="1" w:styleId="PMEHeading2">
    <w:name w:val="PME Heading 2"/>
    <w:basedOn w:val="PMENormal"/>
    <w:next w:val="PMENormal"/>
    <w:uiPriority w:val="99"/>
    <w:rsid w:val="00974607"/>
    <w:pPr>
      <w:keepNext/>
      <w:spacing w:before="120"/>
      <w:jc w:val="left"/>
      <w:outlineLvl w:val="1"/>
    </w:pPr>
    <w:rPr>
      <w:b/>
      <w:bCs/>
      <w:caps/>
    </w:rPr>
  </w:style>
  <w:style w:type="paragraph" w:customStyle="1" w:styleId="PMEHeading3">
    <w:name w:val="PME Heading 3"/>
    <w:basedOn w:val="PMENormal"/>
    <w:next w:val="PMENormal"/>
    <w:uiPriority w:val="99"/>
    <w:rsid w:val="00974607"/>
    <w:pPr>
      <w:keepNext/>
      <w:jc w:val="left"/>
      <w:outlineLvl w:val="2"/>
    </w:pPr>
    <w:rPr>
      <w:b/>
      <w:bCs/>
    </w:rPr>
  </w:style>
  <w:style w:type="paragraph" w:customStyle="1" w:styleId="PMEQuote">
    <w:name w:val="PME Quote"/>
    <w:basedOn w:val="PMENormal"/>
    <w:next w:val="PMENormal"/>
    <w:uiPriority w:val="99"/>
    <w:rsid w:val="00974607"/>
    <w:pPr>
      <w:spacing w:line="260" w:lineRule="atLeast"/>
      <w:ind w:left="289"/>
    </w:pPr>
    <w:rPr>
      <w:sz w:val="26"/>
      <w:szCs w:val="26"/>
    </w:rPr>
  </w:style>
  <w:style w:type="paragraph" w:customStyle="1" w:styleId="PMEFigTitle">
    <w:name w:val="PME FigTitle"/>
    <w:basedOn w:val="PMENormal"/>
    <w:next w:val="PMENormal"/>
    <w:uiPriority w:val="99"/>
    <w:rsid w:val="00595135"/>
    <w:pPr>
      <w:spacing w:before="120"/>
      <w:jc w:val="center"/>
    </w:pPr>
    <w:rPr>
      <w:sz w:val="26"/>
    </w:rPr>
  </w:style>
  <w:style w:type="paragraph" w:customStyle="1" w:styleId="PMENumberedtranscript">
    <w:name w:val="PME Numbered transcript"/>
    <w:basedOn w:val="PMENormal"/>
    <w:next w:val="PMENormal"/>
    <w:uiPriority w:val="99"/>
    <w:rsid w:val="00974607"/>
    <w:pPr>
      <w:tabs>
        <w:tab w:val="left" w:pos="992"/>
      </w:tabs>
      <w:spacing w:line="260" w:lineRule="exact"/>
      <w:ind w:left="1865" w:hanging="1440"/>
    </w:pPr>
    <w:rPr>
      <w:sz w:val="26"/>
      <w:szCs w:val="26"/>
    </w:rPr>
  </w:style>
  <w:style w:type="paragraph" w:customStyle="1" w:styleId="PMETranscript">
    <w:name w:val="PME Transcript"/>
    <w:basedOn w:val="PMENormal"/>
    <w:next w:val="PMENormal"/>
    <w:uiPriority w:val="99"/>
    <w:rsid w:val="00974607"/>
    <w:pPr>
      <w:spacing w:line="260" w:lineRule="exact"/>
      <w:ind w:left="1865" w:hanging="1440"/>
    </w:pPr>
    <w:rPr>
      <w:sz w:val="26"/>
      <w:szCs w:val="26"/>
    </w:rPr>
  </w:style>
  <w:style w:type="paragraph" w:customStyle="1" w:styleId="PMEReferences">
    <w:name w:val="PME References"/>
    <w:basedOn w:val="PMENormal"/>
    <w:uiPriority w:val="99"/>
    <w:rsid w:val="00974607"/>
    <w:pPr>
      <w:spacing w:line="260" w:lineRule="atLeast"/>
      <w:ind w:left="289" w:hanging="289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855</Words>
  <Characters>5133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Eliza Jackowska-Boryc</cp:lastModifiedBy>
  <cp:revision>8</cp:revision>
  <dcterms:created xsi:type="dcterms:W3CDTF">2021-12-28T22:07:00Z</dcterms:created>
  <dcterms:modified xsi:type="dcterms:W3CDTF">2023-06-20T21:52:00Z</dcterms:modified>
</cp:coreProperties>
</file>